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1E" w:rsidRPr="00CE291E" w:rsidRDefault="00CE291E" w:rsidP="00CE29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291E">
        <w:rPr>
          <w:rFonts w:ascii="Times New Roman" w:eastAsia="Times New Roman" w:hAnsi="Times New Roman"/>
          <w:sz w:val="24"/>
          <w:szCs w:val="24"/>
          <w:lang w:eastAsia="ar-SA"/>
        </w:rPr>
        <w:t>Iepirkumam Publisko iepirkumu likuma 9.panta noteiktajā kārtībā</w:t>
      </w:r>
    </w:p>
    <w:p w:rsidR="00CE291E" w:rsidRPr="00CE291E" w:rsidRDefault="00CE291E" w:rsidP="00CE29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E291E">
        <w:rPr>
          <w:rFonts w:ascii="Times New Roman" w:eastAsia="Times New Roman" w:hAnsi="Times New Roman"/>
          <w:b/>
          <w:sz w:val="24"/>
          <w:szCs w:val="24"/>
          <w:lang w:eastAsia="ar-SA"/>
        </w:rPr>
        <w:t>„Siltummezglu, apkures sistēmu, ūdensapgādes sistēmu un ventilācijas sistēmu tehniskā apkalpošana Daugavpils pilsētas pašvaldības budžeta iestādēm”</w:t>
      </w:r>
    </w:p>
    <w:p w:rsidR="007271DD" w:rsidRPr="007271DD" w:rsidRDefault="00CE291E" w:rsidP="00CE29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eastAsia="Times New Roman" w:hAnsi="Times New Roman"/>
          <w:sz w:val="24"/>
          <w:szCs w:val="24"/>
          <w:lang w:eastAsia="ar-SA"/>
        </w:rPr>
        <w:t xml:space="preserve">Identifikācijas numurs </w:t>
      </w:r>
      <w:r w:rsidRPr="00CE291E">
        <w:rPr>
          <w:rFonts w:ascii="Times New Roman" w:eastAsia="Times New Roman" w:hAnsi="Times New Roman"/>
          <w:b/>
          <w:sz w:val="24"/>
          <w:szCs w:val="24"/>
          <w:lang w:eastAsia="ar-SA"/>
        </w:rPr>
        <w:t>DPD 2018/14</w:t>
      </w:r>
    </w:p>
    <w:p w:rsidR="00CE291E" w:rsidRDefault="00CE291E" w:rsidP="008D02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6C9" w:rsidRPr="007271DD" w:rsidRDefault="007271DD" w:rsidP="008D028E">
      <w:pPr>
        <w:jc w:val="center"/>
        <w:rPr>
          <w:rFonts w:ascii="Times New Roman" w:hAnsi="Times New Roman"/>
          <w:b/>
          <w:sz w:val="24"/>
          <w:szCs w:val="24"/>
        </w:rPr>
      </w:pPr>
      <w:r w:rsidRPr="007271DD">
        <w:rPr>
          <w:rFonts w:ascii="Times New Roman" w:hAnsi="Times New Roman"/>
          <w:b/>
          <w:sz w:val="24"/>
          <w:szCs w:val="24"/>
        </w:rPr>
        <w:t>ATBILDES UZ PRETENDENT</w:t>
      </w:r>
      <w:r w:rsidR="00360DC7">
        <w:rPr>
          <w:rFonts w:ascii="Times New Roman" w:hAnsi="Times New Roman"/>
          <w:b/>
          <w:sz w:val="24"/>
          <w:szCs w:val="24"/>
        </w:rPr>
        <w:t>U</w:t>
      </w:r>
      <w:r w:rsidR="008D028E" w:rsidRPr="007271DD">
        <w:rPr>
          <w:rFonts w:ascii="Times New Roman" w:hAnsi="Times New Roman"/>
          <w:b/>
          <w:sz w:val="24"/>
          <w:szCs w:val="24"/>
        </w:rPr>
        <w:t xml:space="preserve"> JAUTĀJUMIEM NR.</w:t>
      </w:r>
      <w:r w:rsidRPr="007271DD">
        <w:rPr>
          <w:rFonts w:ascii="Times New Roman" w:hAnsi="Times New Roman"/>
          <w:b/>
          <w:sz w:val="24"/>
          <w:szCs w:val="24"/>
        </w:rPr>
        <w:t xml:space="preserve"> </w:t>
      </w:r>
      <w:r w:rsidR="00521B7B">
        <w:rPr>
          <w:rFonts w:ascii="Times New Roman" w:hAnsi="Times New Roman"/>
          <w:b/>
          <w:sz w:val="24"/>
          <w:szCs w:val="24"/>
        </w:rPr>
        <w:t>2</w:t>
      </w:r>
    </w:p>
    <w:p w:rsidR="00C41C70" w:rsidRPr="00CE291E" w:rsidRDefault="008D028E" w:rsidP="00C41C70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271DD">
        <w:rPr>
          <w:rFonts w:ascii="Times New Roman" w:eastAsia="Times New Roman" w:hAnsi="Times New Roman"/>
          <w:sz w:val="24"/>
          <w:szCs w:val="24"/>
        </w:rPr>
        <w:t>Daugavpils pilsētas domes iepirkumu komisija 20</w:t>
      </w:r>
      <w:r w:rsidR="00CE291E">
        <w:rPr>
          <w:rFonts w:ascii="Times New Roman" w:eastAsia="Times New Roman" w:hAnsi="Times New Roman"/>
          <w:sz w:val="24"/>
          <w:szCs w:val="24"/>
        </w:rPr>
        <w:t>18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360DC7">
        <w:rPr>
          <w:rFonts w:ascii="Times New Roman" w:eastAsia="Times New Roman" w:hAnsi="Times New Roman"/>
          <w:sz w:val="24"/>
          <w:szCs w:val="24"/>
        </w:rPr>
        <w:t>20</w:t>
      </w:r>
      <w:r w:rsidR="00CE291E">
        <w:rPr>
          <w:rFonts w:ascii="Times New Roman" w:eastAsia="Times New Roman" w:hAnsi="Times New Roman"/>
          <w:sz w:val="24"/>
          <w:szCs w:val="24"/>
        </w:rPr>
        <w:t xml:space="preserve">.februāra sēdē </w:t>
      </w:r>
      <w:r w:rsidR="008E7DDD" w:rsidRPr="007271DD">
        <w:rPr>
          <w:rFonts w:ascii="Times New Roman" w:eastAsia="Times New Roman" w:hAnsi="Times New Roman"/>
          <w:sz w:val="24"/>
          <w:szCs w:val="24"/>
        </w:rPr>
        <w:t>(prot.Nr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.</w:t>
      </w:r>
      <w:r w:rsidR="00360DC7">
        <w:rPr>
          <w:rFonts w:ascii="Times New Roman" w:eastAsia="Times New Roman" w:hAnsi="Times New Roman"/>
          <w:sz w:val="24"/>
          <w:szCs w:val="24"/>
        </w:rPr>
        <w:t>3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)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ir izskatījusi pretendent</w:t>
      </w:r>
      <w:r w:rsidR="00360DC7">
        <w:rPr>
          <w:rFonts w:ascii="Times New Roman" w:eastAsia="Times New Roman" w:hAnsi="Times New Roman"/>
          <w:sz w:val="24"/>
          <w:szCs w:val="24"/>
        </w:rPr>
        <w:t>u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uzdotos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jaut</w:t>
      </w:r>
      <w:r w:rsidR="007271DD" w:rsidRPr="007271DD">
        <w:rPr>
          <w:rFonts w:ascii="Times New Roman" w:eastAsia="Times New Roman" w:hAnsi="Times New Roman"/>
          <w:sz w:val="24"/>
          <w:szCs w:val="24"/>
        </w:rPr>
        <w:t xml:space="preserve">ājumus par </w:t>
      </w:r>
      <w:r w:rsidR="00CE291E">
        <w:rPr>
          <w:rFonts w:ascii="Times New Roman" w:eastAsia="Times New Roman" w:hAnsi="Times New Roman"/>
          <w:sz w:val="24"/>
          <w:szCs w:val="24"/>
        </w:rPr>
        <w:t xml:space="preserve">iepirkuma </w:t>
      </w:r>
      <w:r w:rsidR="00CE291E" w:rsidRPr="00CE291E">
        <w:rPr>
          <w:rFonts w:ascii="Times New Roman" w:eastAsia="Times New Roman" w:hAnsi="Times New Roman"/>
          <w:sz w:val="24"/>
          <w:szCs w:val="24"/>
          <w:lang w:eastAsia="ar-SA"/>
        </w:rPr>
        <w:t>„Siltummezglu, apkures sistēmu, ūdensapgādes sistēmu un ventilācijas sistēmu tehniskā apkalpošana Daugavpils pilsētas pašvaldības budžeta iestādēm”</w:t>
      </w:r>
      <w:r w:rsidR="00CE291E">
        <w:rPr>
          <w:rFonts w:ascii="Times New Roman" w:eastAsia="Times New Roman" w:hAnsi="Times New Roman"/>
          <w:sz w:val="24"/>
          <w:szCs w:val="24"/>
          <w:lang w:eastAsia="ar-SA"/>
        </w:rPr>
        <w:t>, i</w:t>
      </w:r>
      <w:r w:rsidR="00CE291E" w:rsidRPr="00CE291E">
        <w:rPr>
          <w:rFonts w:ascii="Times New Roman" w:eastAsia="Times New Roman" w:hAnsi="Times New Roman"/>
          <w:sz w:val="24"/>
          <w:szCs w:val="24"/>
          <w:lang w:eastAsia="ar-SA"/>
        </w:rPr>
        <w:t>dentifikācijas numurs DPD 2018/14,</w:t>
      </w:r>
      <w:r w:rsidR="00CE291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E291E">
        <w:rPr>
          <w:rFonts w:ascii="Times New Roman" w:eastAsia="Times New Roman" w:hAnsi="Times New Roman"/>
          <w:sz w:val="24"/>
          <w:szCs w:val="24"/>
        </w:rPr>
        <w:t>nolikumu un sniedz šādas atbildes: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63"/>
      </w:tblGrid>
      <w:tr w:rsidR="00360DC7" w:rsidTr="00827E1B">
        <w:tc>
          <w:tcPr>
            <w:tcW w:w="675" w:type="dxa"/>
            <w:vAlign w:val="center"/>
          </w:tcPr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60DC7">
              <w:rPr>
                <w:rFonts w:ascii="Times New Roman" w:eastAsia="Times New Roman" w:hAnsi="Times New Roman"/>
                <w:b/>
                <w:iCs/>
              </w:rPr>
              <w:t>Nr.</w:t>
            </w:r>
          </w:p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60DC7">
              <w:rPr>
                <w:rFonts w:ascii="Times New Roman" w:eastAsia="Times New Roman" w:hAnsi="Times New Roman"/>
                <w:b/>
                <w:iCs/>
              </w:rPr>
              <w:t>p.k.</w:t>
            </w:r>
          </w:p>
        </w:tc>
        <w:tc>
          <w:tcPr>
            <w:tcW w:w="4395" w:type="dxa"/>
            <w:vAlign w:val="center"/>
          </w:tcPr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60DC7">
              <w:rPr>
                <w:rFonts w:ascii="Times New Roman" w:eastAsia="Times New Roman" w:hAnsi="Times New Roman"/>
                <w:b/>
                <w:iCs/>
              </w:rPr>
              <w:t>Jautājumi</w:t>
            </w:r>
          </w:p>
        </w:tc>
        <w:tc>
          <w:tcPr>
            <w:tcW w:w="4263" w:type="dxa"/>
            <w:vAlign w:val="center"/>
          </w:tcPr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60DC7">
              <w:rPr>
                <w:rFonts w:ascii="Times New Roman" w:eastAsia="Times New Roman" w:hAnsi="Times New Roman"/>
                <w:b/>
                <w:iCs/>
              </w:rPr>
              <w:t>Atbildes</w:t>
            </w:r>
          </w:p>
        </w:tc>
      </w:tr>
      <w:tr w:rsidR="00360DC7" w:rsidTr="00827E1B">
        <w:tc>
          <w:tcPr>
            <w:tcW w:w="675" w:type="dxa"/>
          </w:tcPr>
          <w:p w:rsidR="00360DC7" w:rsidRPr="00360DC7" w:rsidRDefault="00360DC7" w:rsidP="00360D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</w:rPr>
            </w:pPr>
            <w:r w:rsidRPr="00360DC7">
              <w:rPr>
                <w:rFonts w:ascii="Times New Roman" w:eastAsia="Times New Roman" w:hAnsi="Times New Roman"/>
                <w:iCs/>
              </w:rPr>
              <w:t>1.</w:t>
            </w:r>
          </w:p>
        </w:tc>
        <w:tc>
          <w:tcPr>
            <w:tcW w:w="4395" w:type="dxa"/>
          </w:tcPr>
          <w:p w:rsidR="00360DC7" w:rsidRPr="00360DC7" w:rsidRDefault="00360DC7" w:rsidP="00360DC7">
            <w:pPr>
              <w:jc w:val="both"/>
              <w:rPr>
                <w:rFonts w:ascii="Times New Roman" w:eastAsia="Times New Roman" w:hAnsi="Times New Roman"/>
              </w:rPr>
            </w:pPr>
            <w:r w:rsidRPr="00360DC7">
              <w:rPr>
                <w:rFonts w:ascii="Times New Roman" w:eastAsia="Times New Roman" w:hAnsi="Times New Roman"/>
              </w:rPr>
              <w:t>Līguma projekta 1.2. punktā ir minēta aptuvenā kārtība par darbiem, kas nav iekļauti tehniskās apkopes apjomos un specifikācijā, vēlamies precizēt:</w:t>
            </w:r>
          </w:p>
          <w:p w:rsidR="00360DC7" w:rsidRPr="00360DC7" w:rsidRDefault="00360DC7" w:rsidP="00360DC7">
            <w:pPr>
              <w:ind w:left="34"/>
              <w:jc w:val="both"/>
              <w:rPr>
                <w:rFonts w:ascii="Times New Roman" w:hAnsi="Times New Roman"/>
              </w:rPr>
            </w:pPr>
            <w:r w:rsidRPr="00360DC7">
              <w:rPr>
                <w:rFonts w:ascii="Times New Roman" w:hAnsi="Times New Roman"/>
              </w:rPr>
              <w:t xml:space="preserve">Ja tiek iesniegts defektu vai avārijas defektu akts par </w:t>
            </w:r>
            <w:proofErr w:type="spellStart"/>
            <w:r w:rsidRPr="00360DC7">
              <w:rPr>
                <w:rFonts w:ascii="Times New Roman" w:hAnsi="Times New Roman"/>
              </w:rPr>
              <w:t>inženiersistēmu</w:t>
            </w:r>
            <w:proofErr w:type="spellEnd"/>
            <w:r w:rsidRPr="00360DC7">
              <w:rPr>
                <w:rFonts w:ascii="Times New Roman" w:hAnsi="Times New Roman"/>
              </w:rPr>
              <w:t xml:space="preserve"> problēmām, trūkumiem vai bojājumiem, cik dienu laikā pasūtītājam ir jāsniedz rakstiska atbilde ?</w:t>
            </w:r>
          </w:p>
          <w:p w:rsidR="00360DC7" w:rsidRPr="00360DC7" w:rsidRDefault="00360DC7" w:rsidP="00360D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4263" w:type="dxa"/>
          </w:tcPr>
          <w:p w:rsidR="00360DC7" w:rsidRPr="00360DC7" w:rsidRDefault="003119D1" w:rsidP="00305CC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Saskaņā ar līguma projekta 1.2.punkta formulējumu, </w:t>
            </w:r>
            <w:r w:rsidRPr="00305CCB">
              <w:rPr>
                <w:rFonts w:ascii="Times New Roman" w:eastAsia="Times New Roman" w:hAnsi="Times New Roman"/>
                <w:i/>
                <w:iCs/>
              </w:rPr>
              <w:t>par darbiem un piegādēm, kas nav iekļauti sistēmu tehniskajā apkalpošanā (Pielikumi Nr.1 un Nr.2)</w:t>
            </w:r>
            <w:r w:rsidR="00305CCB">
              <w:rPr>
                <w:rFonts w:ascii="Times New Roman" w:eastAsia="Times New Roman" w:hAnsi="Times New Roman"/>
                <w:i/>
                <w:iCs/>
              </w:rPr>
              <w:t>,</w:t>
            </w:r>
            <w:r w:rsidRPr="00305CCB">
              <w:rPr>
                <w:rFonts w:ascii="Times New Roman" w:eastAsia="Times New Roman" w:hAnsi="Times New Roman"/>
                <w:i/>
                <w:iCs/>
              </w:rPr>
              <w:t xml:space="preserve"> puses atsevišķi rakstiski vienojas, saskaņojot defekta vai avārijas aktu, nosakot izpildes noteikumus, izpildes termiņu, cenas un samaksas termiņus.</w:t>
            </w:r>
            <w:r w:rsidR="00305CCB">
              <w:rPr>
                <w:rFonts w:ascii="Times New Roman" w:eastAsia="Times New Roman" w:hAnsi="Times New Roman"/>
                <w:iCs/>
              </w:rPr>
              <w:t xml:space="preserve"> Attiecīgi puses atsevišķi katrā konkrētā gadījumā ir tiesīgas vienoties arī  par rakstiskas atbildes sniegšanas termiņiem.</w:t>
            </w:r>
            <w:r>
              <w:rPr>
                <w:rFonts w:ascii="Times New Roman" w:eastAsia="Times New Roman" w:hAnsi="Times New Roman"/>
                <w:iCs/>
              </w:rPr>
              <w:t xml:space="preserve">  </w:t>
            </w:r>
          </w:p>
        </w:tc>
      </w:tr>
      <w:tr w:rsidR="00360DC7" w:rsidTr="00827E1B">
        <w:trPr>
          <w:trHeight w:val="1975"/>
        </w:trPr>
        <w:tc>
          <w:tcPr>
            <w:tcW w:w="675" w:type="dxa"/>
          </w:tcPr>
          <w:p w:rsidR="00360DC7" w:rsidRPr="00827E1B" w:rsidRDefault="00360DC7" w:rsidP="00360D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</w:rPr>
            </w:pPr>
            <w:r w:rsidRPr="00827E1B">
              <w:rPr>
                <w:rFonts w:ascii="Times New Roman" w:eastAsia="Times New Roman" w:hAnsi="Times New Roman"/>
                <w:iCs/>
              </w:rPr>
              <w:t>2.</w:t>
            </w:r>
          </w:p>
        </w:tc>
        <w:tc>
          <w:tcPr>
            <w:tcW w:w="4395" w:type="dxa"/>
          </w:tcPr>
          <w:p w:rsidR="00305CCB" w:rsidRPr="00305CCB" w:rsidRDefault="00305CCB" w:rsidP="00827E1B">
            <w:pPr>
              <w:jc w:val="both"/>
              <w:rPr>
                <w:rFonts w:ascii="Times New Roman" w:hAnsi="Times New Roman"/>
              </w:rPr>
            </w:pPr>
            <w:r w:rsidRPr="00305CCB">
              <w:rPr>
                <w:rFonts w:ascii="Times New Roman" w:hAnsi="Times New Roman"/>
              </w:rPr>
              <w:t>Kvalifikācijas prasība 30.4.3. – Lūdzu precizēt vai Pretendents tiks atzīts kvalifikācijai, ja Pretendents nodrošinās kompetentus speciālistus attiecīgā jomā tikai ar būvdarbu vadības kvalifikāciju? Mūsuprāt šī prasība ir atbilstoša prasītā pakalpojuma apjomam – sistēmu ekspluatācijai.</w:t>
            </w:r>
          </w:p>
          <w:tbl>
            <w:tblPr>
              <w:tblpPr w:leftFromText="189" w:rightFromText="189" w:vertAnchor="text"/>
              <w:tblW w:w="49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2268"/>
            </w:tblGrid>
            <w:tr w:rsidR="009E6D6C" w:rsidRPr="00305CCB" w:rsidTr="008E4905">
              <w:trPr>
                <w:trHeight w:val="416"/>
              </w:trPr>
              <w:tc>
                <w:tcPr>
                  <w:tcW w:w="22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6D6C" w:rsidRPr="00305CCB" w:rsidRDefault="009E6D6C" w:rsidP="009E6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9E6D6C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ar-SA"/>
                    </w:rPr>
                    <w:t>Prasība</w:t>
                  </w:r>
                  <w:proofErr w:type="spellEnd"/>
                </w:p>
              </w:tc>
              <w:tc>
                <w:tcPr>
                  <w:tcW w:w="276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6D6C" w:rsidRPr="00305CCB" w:rsidRDefault="009E6D6C" w:rsidP="009E6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9E6D6C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ar-SA"/>
                    </w:rPr>
                    <w:t>Iesniedzamie</w:t>
                  </w:r>
                  <w:proofErr w:type="spellEnd"/>
                  <w:r w:rsidRPr="009E6D6C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proofErr w:type="spellStart"/>
                  <w:r w:rsidRPr="009E6D6C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ar-SA"/>
                    </w:rPr>
                    <w:t>dokumenti</w:t>
                  </w:r>
                  <w:proofErr w:type="spellEnd"/>
                </w:p>
              </w:tc>
            </w:tr>
            <w:tr w:rsidR="009E6D6C" w:rsidRPr="00305CCB" w:rsidTr="009E6D6C">
              <w:trPr>
                <w:trHeight w:val="1461"/>
              </w:trPr>
              <w:tc>
                <w:tcPr>
                  <w:tcW w:w="22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6D6C" w:rsidRPr="00305CCB" w:rsidRDefault="009E6D6C" w:rsidP="009E6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 w:eastAsia="ar-SA"/>
                    </w:rPr>
                  </w:pPr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30.4.3.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Nodrošinot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Būvniecības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likuma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21.panta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ceturtās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daļas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prasību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izpildi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kura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nosaka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ka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būves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īpašnieks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nodrošina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būves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tās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elementu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uzturēšanu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ekspluatācijas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laikā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lai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tā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atbilstu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šā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likuma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9.pantā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būvei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noteiktajām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būtiskām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prasībām</w:t>
                  </w:r>
                  <w:proofErr w:type="spellEnd"/>
                  <w:r w:rsidRPr="00305CC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,</w:t>
                  </w:r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pretendenta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piesaistītajiem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speciālistiem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ir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būvprakses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sertifikāti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šādās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jomās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276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6D6C" w:rsidRPr="00305CCB" w:rsidRDefault="009E6D6C" w:rsidP="009E6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Būvpr</w:t>
                  </w:r>
                  <w:r w:rsidR="009A462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akses</w:t>
                  </w:r>
                  <w:proofErr w:type="spellEnd"/>
                  <w:r w:rsidR="009A462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A462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sertifikāta</w:t>
                  </w:r>
                  <w:proofErr w:type="spellEnd"/>
                  <w:r w:rsidR="009A462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  </w:t>
                  </w:r>
                  <w:proofErr w:type="spellStart"/>
                  <w:r w:rsidR="009A462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siltumapgāde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ventilācijas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gaisa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kondicionēšanas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sistēmu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būvdarbu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vadīšanā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305CCB"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val="en-US"/>
                    </w:rPr>
                    <w:t>būvuzraudzībā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kopija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vai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izdruka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no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būvspeciālistu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reģistra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;</w:t>
                  </w:r>
                </w:p>
                <w:p w:rsidR="009E6D6C" w:rsidRPr="00305CCB" w:rsidRDefault="009E6D6C" w:rsidP="009E6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Būvprakses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sertifikāta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 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ūdensapgādes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kanalizācijas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sistēmu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ieskaitot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ugunsdzēsības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sistēmas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būvdarbu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vadīšanā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05CCB"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val="en-US"/>
                    </w:rPr>
                    <w:t xml:space="preserve">un </w:t>
                  </w:r>
                  <w:proofErr w:type="spellStart"/>
                  <w:r w:rsidRPr="00305CCB"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val="en-US"/>
                    </w:rPr>
                    <w:t>būvuzraudzībā</w:t>
                  </w:r>
                  <w:proofErr w:type="spellEnd"/>
                  <w:r w:rsidRPr="00305CCB"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val="en-US"/>
                    </w:rPr>
                    <w:t xml:space="preserve"> 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kopija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vai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izdruka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no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būvspeciālistu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reģistra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;</w:t>
                  </w:r>
                </w:p>
                <w:p w:rsidR="009E6D6C" w:rsidRPr="00305CCB" w:rsidRDefault="009E6D6C" w:rsidP="009E6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Būvprakses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sertifikāts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 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elektroietaišu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izbūves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darbu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vadīšana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un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būvuzraudzība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līdz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1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kv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kopija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vai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 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izdruka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no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būvspeciālistu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reģistra</w:t>
                  </w:r>
                  <w:proofErr w:type="spellEnd"/>
                  <w:r w:rsidRPr="00305CC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;</w:t>
                  </w:r>
                </w:p>
              </w:tc>
            </w:tr>
          </w:tbl>
          <w:p w:rsidR="00360DC7" w:rsidRPr="00827E1B" w:rsidRDefault="00360DC7" w:rsidP="00360D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  <w:lang w:val="en-US"/>
              </w:rPr>
            </w:pPr>
          </w:p>
        </w:tc>
        <w:tc>
          <w:tcPr>
            <w:tcW w:w="4263" w:type="dxa"/>
          </w:tcPr>
          <w:p w:rsidR="001816A4" w:rsidRDefault="009A4627" w:rsidP="001816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1816A4">
              <w:rPr>
                <w:rFonts w:ascii="Times New Roman" w:eastAsia="Times New Roman" w:hAnsi="Times New Roman"/>
                <w:iCs/>
              </w:rPr>
              <w:t xml:space="preserve">Kā izriet no </w:t>
            </w:r>
            <w:r w:rsidR="005F02F7" w:rsidRPr="001816A4">
              <w:rPr>
                <w:rFonts w:ascii="Times New Roman" w:eastAsia="Times New Roman" w:hAnsi="Times New Roman"/>
                <w:iCs/>
              </w:rPr>
              <w:t xml:space="preserve">Ministru kabineta 07.10.2014. noteikumu Nr.610 </w:t>
            </w:r>
            <w:r w:rsidR="005F02F7" w:rsidRPr="001816A4">
              <w:rPr>
                <w:rFonts w:ascii="Times New Roman" w:eastAsia="Times New Roman" w:hAnsi="Times New Roman"/>
                <w:iCs/>
                <w:color w:val="000000" w:themeColor="text1"/>
              </w:rPr>
              <w:t>“</w:t>
            </w:r>
            <w:proofErr w:type="spellStart"/>
            <w:r w:rsidR="005F02F7" w:rsidRPr="001816A4">
              <w:rPr>
                <w:rFonts w:ascii="Times New Roman" w:hAnsi="Times New Roman"/>
                <w:bCs/>
                <w:color w:val="000000" w:themeColor="text1"/>
              </w:rPr>
              <w:t>Būvspeciālistu</w:t>
            </w:r>
            <w:proofErr w:type="spellEnd"/>
            <w:r w:rsidR="005F02F7" w:rsidRPr="001816A4">
              <w:rPr>
                <w:rFonts w:ascii="Times New Roman" w:hAnsi="Times New Roman"/>
                <w:bCs/>
                <w:color w:val="000000" w:themeColor="text1"/>
              </w:rPr>
              <w:t xml:space="preserve"> kompetences novērtēšanas un patstāvīgās prakses uzraudzības noteikumi</w:t>
            </w:r>
            <w:r w:rsidR="005F02F7" w:rsidRPr="001816A4">
              <w:rPr>
                <w:rFonts w:ascii="Times New Roman" w:eastAsia="Times New Roman" w:hAnsi="Times New Roman"/>
                <w:iCs/>
                <w:color w:val="000000" w:themeColor="text1"/>
              </w:rPr>
              <w:t>” 2.</w:t>
            </w:r>
            <w:r w:rsidR="005F02F7" w:rsidRPr="001816A4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</w:rPr>
              <w:t xml:space="preserve">1 </w:t>
            </w:r>
            <w:r w:rsidR="009C7C34" w:rsidRPr="001816A4">
              <w:rPr>
                <w:rFonts w:ascii="Times New Roman" w:eastAsia="Times New Roman" w:hAnsi="Times New Roman"/>
                <w:iCs/>
              </w:rPr>
              <w:t xml:space="preserve">pielikuma </w:t>
            </w:r>
            <w:r w:rsidR="001816A4" w:rsidRPr="001816A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piezīmēs </w:t>
            </w:r>
            <w:r w:rsidR="001816A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noteiktā </w:t>
            </w:r>
            <w:r w:rsidR="001816A4" w:rsidRPr="001816A4">
              <w:rPr>
                <w:rFonts w:ascii="Times New Roman" w:eastAsia="Times New Roman" w:hAnsi="Times New Roman"/>
                <w:iCs/>
                <w:color w:val="000000" w:themeColor="text1"/>
                <w:u w:val="single"/>
              </w:rPr>
              <w:t>abas darbības sfēras ir atbilstošas prasītā pakalpojuma apjomam</w:t>
            </w:r>
            <w:r w:rsidR="001816A4">
              <w:rPr>
                <w:rFonts w:ascii="Times New Roman" w:eastAsia="Times New Roman" w:hAnsi="Times New Roman"/>
                <w:iCs/>
                <w:color w:val="000000" w:themeColor="text1"/>
              </w:rPr>
              <w:t>, skatīt:</w:t>
            </w:r>
          </w:p>
          <w:p w:rsidR="00360DC7" w:rsidRPr="001816A4" w:rsidRDefault="001816A4" w:rsidP="001816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816A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</w:t>
            </w:r>
            <w:r w:rsidR="00166C12" w:rsidRPr="001816A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</w:t>
            </w:r>
            <w:r w:rsidRPr="001816A4">
              <w:rPr>
                <w:rFonts w:ascii="Times New Roman" w:hAnsi="Times New Roman"/>
                <w:i/>
                <w:color w:val="000000" w:themeColor="text1"/>
                <w:vertAlign w:val="superscript"/>
              </w:rPr>
              <w:t>5</w:t>
            </w:r>
            <w:r w:rsidRPr="001816A4">
              <w:rPr>
                <w:rFonts w:ascii="Times New Roman" w:hAnsi="Times New Roman"/>
                <w:i/>
                <w:color w:val="000000" w:themeColor="text1"/>
              </w:rPr>
              <w:t xml:space="preserve">Projektēšanas, būvdarbu vadīšanas un būvuzraudzības specialitātē piešķirtais sertifikāts tajā norādītās darbības sfēras ietvaros dod tiesības </w:t>
            </w:r>
            <w:proofErr w:type="spellStart"/>
            <w:r w:rsidRPr="001816A4">
              <w:rPr>
                <w:rFonts w:ascii="Times New Roman" w:hAnsi="Times New Roman"/>
                <w:i/>
                <w:color w:val="000000" w:themeColor="text1"/>
              </w:rPr>
              <w:t>būvspeciālistam</w:t>
            </w:r>
            <w:proofErr w:type="spellEnd"/>
            <w:r w:rsidRPr="001816A4">
              <w:rPr>
                <w:rFonts w:ascii="Times New Roman" w:hAnsi="Times New Roman"/>
                <w:i/>
                <w:color w:val="000000" w:themeColor="text1"/>
              </w:rPr>
              <w:t xml:space="preserve"> veikt arī </w:t>
            </w:r>
            <w:r w:rsidRPr="001816A4">
              <w:rPr>
                <w:rFonts w:ascii="Times New Roman" w:hAnsi="Times New Roman"/>
                <w:i/>
                <w:color w:val="000000" w:themeColor="text1"/>
                <w:u w:val="single"/>
              </w:rPr>
              <w:t>attiecīgo inženierbūvju un inženiertīklu tehnisko apsekošanu</w:t>
            </w:r>
            <w:r w:rsidRPr="001816A4">
              <w:rPr>
                <w:rFonts w:ascii="Times New Roman" w:hAnsi="Times New Roman"/>
                <w:i/>
                <w:color w:val="000000" w:themeColor="text1"/>
              </w:rPr>
              <w:t xml:space="preserve"> atbilstoši tehniskās apsekošanas uzdevumam. Minētajās specialitātēs piešķirtais sertifikāts dod tiesības </w:t>
            </w:r>
            <w:proofErr w:type="spellStart"/>
            <w:r w:rsidRPr="001816A4">
              <w:rPr>
                <w:rFonts w:ascii="Times New Roman" w:hAnsi="Times New Roman"/>
                <w:i/>
                <w:color w:val="000000" w:themeColor="text1"/>
              </w:rPr>
              <w:t>būvspeciālistam</w:t>
            </w:r>
            <w:proofErr w:type="spellEnd"/>
            <w:r w:rsidRPr="001816A4">
              <w:rPr>
                <w:rFonts w:ascii="Times New Roman" w:hAnsi="Times New Roman"/>
                <w:i/>
                <w:color w:val="000000" w:themeColor="text1"/>
              </w:rPr>
              <w:t xml:space="preserve"> vadīt arī visu veidu būvdarbu </w:t>
            </w:r>
            <w:proofErr w:type="spellStart"/>
            <w:r w:rsidRPr="001816A4">
              <w:rPr>
                <w:rFonts w:ascii="Times New Roman" w:hAnsi="Times New Roman"/>
                <w:i/>
                <w:color w:val="000000" w:themeColor="text1"/>
              </w:rPr>
              <w:t>tāmēšanas</w:t>
            </w:r>
            <w:proofErr w:type="spellEnd"/>
            <w:r w:rsidRPr="001816A4">
              <w:rPr>
                <w:rFonts w:ascii="Times New Roman" w:hAnsi="Times New Roman"/>
                <w:i/>
                <w:color w:val="000000" w:themeColor="text1"/>
              </w:rPr>
              <w:t xml:space="preserve"> darbus.</w:t>
            </w:r>
            <w:r w:rsidRPr="001816A4">
              <w:rPr>
                <w:rFonts w:ascii="Times New Roman" w:hAnsi="Times New Roman"/>
                <w:i/>
                <w:color w:val="000000" w:themeColor="text1"/>
              </w:rPr>
              <w:br/>
            </w:r>
            <w:r w:rsidRPr="001816A4">
              <w:rPr>
                <w:rFonts w:ascii="Times New Roman" w:hAnsi="Times New Roman"/>
                <w:i/>
                <w:color w:val="000000" w:themeColor="text1"/>
                <w:vertAlign w:val="superscript"/>
              </w:rPr>
              <w:t>6</w:t>
            </w:r>
            <w:r w:rsidRPr="001816A4">
              <w:rPr>
                <w:rFonts w:ascii="Times New Roman" w:hAnsi="Times New Roman"/>
                <w:i/>
                <w:color w:val="000000" w:themeColor="text1"/>
              </w:rPr>
              <w:t xml:space="preserve">Apkures sistēmas, ventilācijas sistēmas, gaisa kondicionēšanas sistēmas, ēku dzesēšanas sistēmas, dūmu aizsardzības sistēmas, </w:t>
            </w:r>
            <w:proofErr w:type="spellStart"/>
            <w:r w:rsidRPr="001816A4">
              <w:rPr>
                <w:rFonts w:ascii="Times New Roman" w:hAnsi="Times New Roman"/>
                <w:i/>
                <w:color w:val="000000" w:themeColor="text1"/>
              </w:rPr>
              <w:t>siltummehānika</w:t>
            </w:r>
            <w:proofErr w:type="spellEnd"/>
            <w:r w:rsidRPr="001816A4">
              <w:rPr>
                <w:rFonts w:ascii="Times New Roman" w:hAnsi="Times New Roman"/>
                <w:i/>
                <w:color w:val="000000" w:themeColor="text1"/>
              </w:rPr>
              <w:t>/siltumapgādes avoti (tajā skaitā biomasas apkures sistēmas, saules kolektoru sistēmas, ģeotermiskās sistēmas un siltumsūkņi), siltumtīkli</w:t>
            </w:r>
            <w:r w:rsidRPr="001816A4">
              <w:rPr>
                <w:rFonts w:ascii="Times New Roman" w:hAnsi="Times New Roman"/>
                <w:i/>
                <w:color w:val="000000" w:themeColor="text1"/>
              </w:rPr>
              <w:t>.</w:t>
            </w:r>
          </w:p>
        </w:tc>
      </w:tr>
    </w:tbl>
    <w:p w:rsidR="008D028E" w:rsidRPr="00360DC7" w:rsidRDefault="008D028E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0" w:name="_GoBack"/>
      <w:bookmarkEnd w:id="0"/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1B8C" w:rsidRPr="00831178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5237" w:rsidRDefault="00295237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  <w:sectPr w:rsidR="00295237" w:rsidSect="00521B7B">
          <w:footerReference w:type="default" r:id="rId8"/>
          <w:pgSz w:w="11906" w:h="16838"/>
          <w:pgMar w:top="1440" w:right="992" w:bottom="1440" w:left="1797" w:header="709" w:footer="709" w:gutter="0"/>
          <w:cols w:space="708"/>
          <w:docGrid w:linePitch="360"/>
        </w:sectPr>
      </w:pPr>
    </w:p>
    <w:p w:rsidR="00295237" w:rsidRDefault="00295237" w:rsidP="002B22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95237" w:rsidSect="00295237">
          <w:pgSz w:w="11906" w:h="16838"/>
          <w:pgMar w:top="1440" w:right="992" w:bottom="1440" w:left="1797" w:header="709" w:footer="709" w:gutter="0"/>
          <w:cols w:space="708"/>
          <w:docGrid w:linePitch="360"/>
        </w:sectPr>
      </w:pPr>
    </w:p>
    <w:p w:rsidR="00291B8C" w:rsidRPr="007271DD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sectPr w:rsidR="00291B8C" w:rsidRPr="007271DD" w:rsidSect="00295237">
      <w:pgSz w:w="11906" w:h="16838"/>
      <w:pgMar w:top="1440" w:right="992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6" w:rsidRDefault="002C50F6" w:rsidP="008D028E">
      <w:pPr>
        <w:spacing w:after="0" w:line="240" w:lineRule="auto"/>
      </w:pPr>
      <w:r>
        <w:separator/>
      </w:r>
    </w:p>
  </w:endnote>
  <w:end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587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0F6" w:rsidRDefault="002C5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50F6" w:rsidRDefault="002C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6" w:rsidRDefault="002C50F6" w:rsidP="008D028E">
      <w:pPr>
        <w:spacing w:after="0" w:line="240" w:lineRule="auto"/>
      </w:pPr>
      <w:r>
        <w:separator/>
      </w:r>
    </w:p>
  </w:footnote>
  <w:foot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629"/>
    <w:multiLevelType w:val="multilevel"/>
    <w:tmpl w:val="F98C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5325A"/>
    <w:multiLevelType w:val="multilevel"/>
    <w:tmpl w:val="AB6C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26D32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17B77529"/>
    <w:multiLevelType w:val="multilevel"/>
    <w:tmpl w:val="FC74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92088E"/>
    <w:multiLevelType w:val="multilevel"/>
    <w:tmpl w:val="B9DCB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2513076"/>
    <w:multiLevelType w:val="multilevel"/>
    <w:tmpl w:val="C8EED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EA6134"/>
    <w:multiLevelType w:val="multilevel"/>
    <w:tmpl w:val="8BDE4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1070D3"/>
    <w:multiLevelType w:val="multilevel"/>
    <w:tmpl w:val="28280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C7A7C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9" w15:restartNumberingAfterBreak="0">
    <w:nsid w:val="37DB7BF9"/>
    <w:multiLevelType w:val="multilevel"/>
    <w:tmpl w:val="947A7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334A65"/>
    <w:multiLevelType w:val="multilevel"/>
    <w:tmpl w:val="7DA0C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1C71B5"/>
    <w:multiLevelType w:val="hybridMultilevel"/>
    <w:tmpl w:val="2AC423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21EB1"/>
    <w:multiLevelType w:val="multilevel"/>
    <w:tmpl w:val="352A1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727C58"/>
    <w:multiLevelType w:val="hybridMultilevel"/>
    <w:tmpl w:val="3D4013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CDE"/>
    <w:multiLevelType w:val="hybridMultilevel"/>
    <w:tmpl w:val="1E3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76269"/>
    <w:multiLevelType w:val="multilevel"/>
    <w:tmpl w:val="67A4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E35C60"/>
    <w:multiLevelType w:val="multilevel"/>
    <w:tmpl w:val="15C44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DE0994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3B83902"/>
    <w:multiLevelType w:val="multilevel"/>
    <w:tmpl w:val="926A9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5A6C0F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0" w15:restartNumberingAfterBreak="0">
    <w:nsid w:val="788D16F7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7"/>
  </w:num>
  <w:num w:numId="5">
    <w:abstractNumId w:val="2"/>
  </w:num>
  <w:num w:numId="6">
    <w:abstractNumId w:val="4"/>
  </w:num>
  <w:num w:numId="7">
    <w:abstractNumId w:val="18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  <w:num w:numId="14">
    <w:abstractNumId w:val="14"/>
  </w:num>
  <w:num w:numId="15">
    <w:abstractNumId w:val="0"/>
  </w:num>
  <w:num w:numId="16">
    <w:abstractNumId w:val="1"/>
  </w:num>
  <w:num w:numId="17">
    <w:abstractNumId w:val="15"/>
  </w:num>
  <w:num w:numId="18">
    <w:abstractNumId w:val="5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0B42C8"/>
    <w:rsid w:val="00115F54"/>
    <w:rsid w:val="001541B2"/>
    <w:rsid w:val="00166C12"/>
    <w:rsid w:val="001816A4"/>
    <w:rsid w:val="00196AE5"/>
    <w:rsid w:val="00225F57"/>
    <w:rsid w:val="00282824"/>
    <w:rsid w:val="00291B8C"/>
    <w:rsid w:val="00295237"/>
    <w:rsid w:val="002B2297"/>
    <w:rsid w:val="002C50F6"/>
    <w:rsid w:val="002F6F2D"/>
    <w:rsid w:val="00301AA9"/>
    <w:rsid w:val="00305CCB"/>
    <w:rsid w:val="003119D1"/>
    <w:rsid w:val="00332E9B"/>
    <w:rsid w:val="00360DC7"/>
    <w:rsid w:val="00367201"/>
    <w:rsid w:val="003861BF"/>
    <w:rsid w:val="003F0B4F"/>
    <w:rsid w:val="004B4914"/>
    <w:rsid w:val="00521B7B"/>
    <w:rsid w:val="00553321"/>
    <w:rsid w:val="005E0DB2"/>
    <w:rsid w:val="005F02F7"/>
    <w:rsid w:val="00612555"/>
    <w:rsid w:val="0065418E"/>
    <w:rsid w:val="0068046D"/>
    <w:rsid w:val="006D5352"/>
    <w:rsid w:val="006E2CE6"/>
    <w:rsid w:val="006F3BEA"/>
    <w:rsid w:val="007262DF"/>
    <w:rsid w:val="007271DD"/>
    <w:rsid w:val="00765644"/>
    <w:rsid w:val="007866C9"/>
    <w:rsid w:val="00816581"/>
    <w:rsid w:val="00825A5A"/>
    <w:rsid w:val="00827E1B"/>
    <w:rsid w:val="00831178"/>
    <w:rsid w:val="00847B04"/>
    <w:rsid w:val="00882AEB"/>
    <w:rsid w:val="008D028E"/>
    <w:rsid w:val="008D65A2"/>
    <w:rsid w:val="008E4905"/>
    <w:rsid w:val="008E50D7"/>
    <w:rsid w:val="008E7DDD"/>
    <w:rsid w:val="009A4627"/>
    <w:rsid w:val="009C7C34"/>
    <w:rsid w:val="009E6D6C"/>
    <w:rsid w:val="00A74B7B"/>
    <w:rsid w:val="00B0457E"/>
    <w:rsid w:val="00B60624"/>
    <w:rsid w:val="00B650D6"/>
    <w:rsid w:val="00C41C70"/>
    <w:rsid w:val="00CE291E"/>
    <w:rsid w:val="00D2327D"/>
    <w:rsid w:val="00DE0DC6"/>
    <w:rsid w:val="00DE5966"/>
    <w:rsid w:val="00F01348"/>
    <w:rsid w:val="00F203B2"/>
    <w:rsid w:val="00F42BF9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7866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AA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9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1B8C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7866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6581"/>
    <w:pPr>
      <w:spacing w:after="0" w:line="240" w:lineRule="auto"/>
    </w:pPr>
    <w:rPr>
      <w:rFonts w:eastAsia="Times New Roman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1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F407-8D3C-4370-BFDB-B6BEB86A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Sede</cp:lastModifiedBy>
  <cp:revision>23</cp:revision>
  <cp:lastPrinted>2015-03-04T14:42:00Z</cp:lastPrinted>
  <dcterms:created xsi:type="dcterms:W3CDTF">2013-11-20T07:34:00Z</dcterms:created>
  <dcterms:modified xsi:type="dcterms:W3CDTF">2018-02-20T09:13:00Z</dcterms:modified>
</cp:coreProperties>
</file>